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77.581787109375" w:line="240" w:lineRule="auto"/>
        <w:jc w:val="center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</w:rPr>
        <w:drawing>
          <wp:inline distB="19050" distT="19050" distL="19050" distR="19050">
            <wp:extent cx="2646435" cy="57852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6435" cy="578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77.581787109375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PAUTA DE EVALUACIÓN DEL ARTÍCULO </w:t>
      </w:r>
    </w:p>
    <w:p w:rsidR="00000000" w:rsidDel="00000000" w:rsidP="00000000" w:rsidRDefault="00000000" w:rsidRPr="00000000" w14:paraId="00000003">
      <w:pPr>
        <w:widowControl w:val="0"/>
        <w:spacing w:before="12.7197265625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(65% de exigencia)</w:t>
      </w:r>
    </w:p>
    <w:tbl>
      <w:tblPr>
        <w:tblStyle w:val="Table1"/>
        <w:tblW w:w="10214.40010070800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7.999954223633"/>
        <w:gridCol w:w="2126.400146484375"/>
        <w:tblGridChange w:id="0">
          <w:tblGrid>
            <w:gridCol w:w="8087.999954223633"/>
            <w:gridCol w:w="2126.400146484375"/>
          </w:tblGrid>
        </w:tblGridChange>
      </w:tblGrid>
      <w:tr>
        <w:trPr>
          <w:cantSplit w:val="0"/>
          <w:trHeight w:val="55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26.63124084472656" w:firstLine="0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ÁMBITOS EVALUADOS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3.38141441345215" w:lineRule="auto"/>
              <w:ind w:left="144.4366455078125" w:right="200.946044921875" w:firstLine="0"/>
              <w:jc w:val="center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PUNTAJE LOGRADO 0 a 4 puntos</w:t>
            </w:r>
          </w:p>
        </w:tc>
      </w:tr>
      <w:tr>
        <w:trPr>
          <w:cantSplit w:val="0"/>
          <w:trHeight w:val="287.99926757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34.43763732910156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  <w:rtl w:val="0"/>
              </w:rPr>
              <w:t xml:space="preserve">I. RESUMEN E INTRODUCCIÓN (5%)</w:t>
            </w:r>
          </w:p>
        </w:tc>
      </w:tr>
      <w:tr>
        <w:trPr>
          <w:cantSplit w:val="0"/>
          <w:trHeight w:val="136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3.38141441345215" w:lineRule="auto"/>
              <w:ind w:left="742.7352142333984" w:right="-49.3743896484375" w:hanging="344.7648620605469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1. El resumen da cuenta, de forma sintética, del objetivo de la investigación didáctica en vínculo con la propuesta de implementación, así como del enfoque pedagógico, disciplinar y didáctico al que se adhiere. Este resumen presenta además los principales resultados y finaliza con 3 a 5 palabras clave, las que identifican los temas más importantes trabajados en el artículo.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3.99353027343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widowControl w:val="0"/>
              <w:spacing w:before="58.740234375" w:line="240" w:lineRule="auto"/>
              <w:ind w:left="1.4129638671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</w:p>
        </w:tc>
      </w:tr>
      <w:tr>
        <w:trPr>
          <w:cantSplit w:val="0"/>
          <w:trHeight w:val="8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3.38072776794434" w:lineRule="auto"/>
              <w:ind w:left="748.9176177978516" w:right="-48.4417724609375" w:hanging="357.3504638671875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2. La introducción se inicia relevando la temática u objeto central de la implementación, para luego hacer una síntesis consecutiva de las partes que lo componen, mencionando a grandes rasgos de qué trata cada una de ellas.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34.43763732910156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  <w:rtl w:val="0"/>
              </w:rPr>
              <w:t xml:space="preserve">II. DIAGNÓSTICO DE LA INSTITUCIÓN Y DEL CURSO (15%)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3.38072776794434" w:lineRule="auto"/>
              <w:ind w:left="753.5543060302734" w:right="-47.36572265625" w:hanging="355.5839538574219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1. Explicita el procedimiento empleado para elaborar cada diagnóstico, incluyendo los instrumentos de recogida de información.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3.3804416656494" w:lineRule="auto"/>
              <w:ind w:left="742.9560089111328" w:right="-46.52587890625" w:hanging="351.38885498046875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2. Elabora un diagnóstico de la institución educativa que considera el contexto sociocultural, la cultura escolar y la comunidad en general,reconociendo sus límites y posibilidades para el desarrollo del aprendizaje de los estudiantes.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3.38072776794434" w:lineRule="auto"/>
              <w:ind w:left="749.1384124755859" w:right="-47.3480224609375" w:hanging="358.8960266113281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3. Elabora un diagnóstico del curso, contemplando las necesidades y desafíos de aprendizaje de los estudiantes en términos individuales y de grupo. Al igual que describe y analiza las formas de enseñanza del profesor del curso desde un punto de vista pedagógico y didáctico.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.547851562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</w:p>
        </w:tc>
      </w:tr>
      <w:tr>
        <w:trPr>
          <w:cantSplit w:val="0"/>
          <w:trHeight w:val="83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3.38072776794434" w:lineRule="auto"/>
              <w:ind w:left="744.9431610107422" w:right="-46.9970703125" w:hanging="360.6623840332031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4. Identifica y justifica, a partir de los antecedentes recogidos en ambos diagnósticos, aquellos principios/aspectos/elementos pedagógicos y didácticos-disciplinares que guían el diseño de la secuencia o unidad didáctica.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.8000488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34.43763732910156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  <w:rtl w:val="0"/>
              </w:rPr>
              <w:t xml:space="preserve">III. REFERENTES TEÓRICOS DE LA SECUENCIA O UNIDAD (20%)</w:t>
            </w:r>
          </w:p>
        </w:tc>
      </w:tr>
      <w:tr>
        <w:trPr>
          <w:cantSplit w:val="0"/>
          <w:trHeight w:val="1094.400329589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3.38104248046875" w:lineRule="auto"/>
              <w:ind w:left="749.5800018310547" w:right="-49.1009521484375" w:hanging="351.6096496582031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1. Desarrolla, de manera coherente, aquellos principios y fundamentos pedagógicos, didácticos y disciplinares que se desprenden de los diagnósticos realizados, levantando de esta forma un posicionamiento teórico que sustenta el diseño, la implementación y la evaluación de la propuesta de enseñanza-aprendizaje.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.08154296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</w:t>
            </w:r>
          </w:p>
        </w:tc>
      </w:tr>
      <w:tr>
        <w:trPr>
          <w:cantSplit w:val="0"/>
          <w:trHeight w:val="83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3.38104248046875" w:lineRule="auto"/>
              <w:ind w:left="755.7624053955078" w:right="-49.906005859375" w:hanging="364.19525146484375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2. Incorpora al menos un foco formativo desarrollado durante la carrera. Estos son  los siguientes: Educación inclusiva, Educación para el desarrollo sostenible e Interdisciplinariedad.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3. Utiliza referencias bibliográficas que incluyen autores clave de la especialidad.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.80017089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34.43763732910156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  <w:rtl w:val="0"/>
              </w:rPr>
              <w:t xml:space="preserve">IV. DESCRIPCIÓN DE LA SECUENCIA O UNIDAD Y PLANIFICACIÓN (10%)</w:t>
            </w:r>
          </w:p>
        </w:tc>
      </w:tr>
      <w:tr>
        <w:trPr>
          <w:cantSplit w:val="0"/>
          <w:trHeight w:val="825.599517822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3.3808994293213" w:lineRule="auto"/>
              <w:ind w:left="743.1768035888672" w:right="46.28662109375" w:hanging="345.2064514160156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1. Describe de manera general y presenta la planificación de una secuencia o unidad  didáctica (según su disciplina): incluye actividades y su secuenciación, tiempos,  formas de evaluación y recursos principales.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line="240" w:lineRule="auto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</w:p>
    <w:tbl>
      <w:tblPr>
        <w:tblStyle w:val="Table2"/>
        <w:tblW w:w="10214.40010070800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87.999954223633"/>
        <w:gridCol w:w="2126.400146484375"/>
        <w:tblGridChange w:id="0">
          <w:tblGrid>
            <w:gridCol w:w="8087.999954223633"/>
            <w:gridCol w:w="2126.400146484375"/>
          </w:tblGrid>
        </w:tblGridChange>
      </w:tblGrid>
      <w:tr>
        <w:trPr>
          <w:cantSplit w:val="0"/>
          <w:trHeight w:val="6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3.38141441345215" w:lineRule="auto"/>
              <w:ind w:left="753.5543060302734" w:right="45.6207275390625" w:hanging="361.9871520996094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2. Describe sintéticamente el modelo y/o paradigma de evaluación y los  instrumentos utilizados.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.20092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21.631240844726562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  <w:rtl w:val="0"/>
              </w:rPr>
              <w:t xml:space="preserve">V. FUNDAMENTACIÓN DE LA SECUENCIA O UNIDAD (15%)</w:t>
            </w:r>
          </w:p>
        </w:tc>
      </w:tr>
      <w:tr>
        <w:trPr>
          <w:cantSplit w:val="0"/>
          <w:trHeight w:val="48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1. Argumenta la coherencia entre los diagnósticos realizados y el diseño didáctico.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3.38141441345215" w:lineRule="auto"/>
              <w:ind w:left="749.5800018310547" w:right="52.6275634765625" w:hanging="358.0128479003906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2. Argumenta la coherencia entre los fundamentos pedagógicos escogidos y el diseño  didáctico.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3.38029861450195" w:lineRule="auto"/>
              <w:ind w:left="749.5800018310547" w:right="53.12744140625" w:hanging="359.3376159667969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3. Argumenta la coherencia entre el foco formativo seleccionado y el diseño  didáctico.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3.38141441345215" w:lineRule="auto"/>
              <w:ind w:left="749.1384124755859" w:right="46.895751953125" w:hanging="364.8576354980469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4. Argumenta la coherencia entre el posicionamiento didáctico y/o teoría escogida y  el diseño didáctico.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3.38141441345215" w:lineRule="auto"/>
              <w:ind w:left="742.9560089111328" w:right="113.958740234375" w:hanging="352.9344177246094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5. Argumenta la coherencia entre los fundamentos disciplinares de su especialidad y el diseño didáctico.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390.68397521972656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6. Argumenta las decisiones evaluativas propuestas para el diseño didáctico.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.60058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06.43939971923828" w:lineRule="auto"/>
              <w:ind w:left="394.21669006347656" w:right="545.743408203125" w:hanging="372.58544921875"/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  <w:rtl w:val="0"/>
              </w:rPr>
              <w:t xml:space="preserve">VI. RESULTADOS DE APRENDIZAJE Y REFLEXIÓN DEL PROCESO DE IMPLEMENTACIÓN DE LA SECUENCIA O  UNIDAD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3.200000127156578"/>
                <w:szCs w:val="23.200000127156578"/>
                <w:vertAlign w:val="superscript"/>
                <w:rtl w:val="0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  <w:rtl w:val="0"/>
              </w:rPr>
              <w:t xml:space="preserve">(30%)</w:t>
            </w:r>
          </w:p>
        </w:tc>
      </w:tr>
      <w:tr>
        <w:trPr>
          <w:cantSplit w:val="0"/>
          <w:trHeight w:val="8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3.3804416656494" w:lineRule="auto"/>
              <w:ind w:left="742.7352142333984" w:right="-43.90869140625" w:hanging="344.7648620605469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1. Analiza y reflexiona sobre los aprendizajes logrados por las y los estudiantes en términos de contenidos/habilidades/actitudes, los que son presentados de forma  precisa con la ayuda de tablas y/o gráficos.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3.38072776794434" w:lineRule="auto"/>
              <w:ind w:left="748.9176177978516" w:right="97.1710205078125" w:hanging="357.3504638671875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2. Reflexiona sobre su experiencia de implementación: logros y desafíos del proceso completo.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3.3804416656494" w:lineRule="auto"/>
              <w:ind w:left="749.1384124755859" w:right="46.0968017578125" w:hanging="358.8960266113281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3. Propone acciones de mejora a la propuesta didáctica (diseño, implementación y  evaluación), identificando fortalezas y debilidades en el ámbito profesional  (incluyendo aspectos relacionales).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3.38072776794434" w:lineRule="auto"/>
              <w:ind w:left="748.9176177978516" w:right="-45.79833984375" w:hanging="364.6368408203125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4. Identifica aprendizajes profesionales, en términos de fortalezas y debilidades, puestos en acción durante el proceso de titulación y que hacen referencia a las  competencias del perfil de egreso de la carrera.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59960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21.631240844726562" w:firstLine="0"/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2.079999923706055"/>
                <w:szCs w:val="22.079999923706055"/>
                <w:highlight w:val="black"/>
                <w:rtl w:val="0"/>
              </w:rPr>
              <w:t xml:space="preserve">VII. ASPECTOS FORMALES DEL DOCUMENTO (5%)</w:t>
            </w:r>
          </w:p>
        </w:tc>
      </w:tr>
      <w:tr>
        <w:trPr>
          <w:cantSplit w:val="0"/>
          <w:trHeight w:val="28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397.97035217285156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1. Existe una jerarquización de ideas siguiendo los títulos, subtítulos y párrafos.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62158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3.38101387023926" w:lineRule="auto"/>
              <w:ind w:left="748.9176177978516" w:right="-44.40673828125" w:hanging="357.3504638671875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2. El texto se caracteriza por ser coherente y cohesionado, y no presentar faltas de  ortografía.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0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390.2423858642578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3. Respeta el formato solicitado: tipo de letra, extensión,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3.3804988861084" w:lineRule="auto"/>
              <w:ind w:left="742.9560089111328" w:right="-47.5152587890625" w:hanging="358.67523193359375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4. Las ideas de los autores, utilizadas en el texto, son referenciadas según la norma APA.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390.02159118652344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5. Las referencias bibliográficas siguen la norma APA.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96.6998291015625"/>
              <w:jc w:val="right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  <w:rtl w:val="0"/>
              </w:rPr>
              <w:t xml:space="preserve">NOTA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39.4645881652832" w:lineRule="auto"/>
        <w:ind w:left="989.4733428955078" w:right="634.68505859375" w:hanging="290.4925537109375"/>
        <w:jc w:val="both"/>
        <w:rPr>
          <w:rFonts w:ascii="Calibri" w:cs="Calibri" w:eastAsia="Calibri" w:hAnsi="Calibri"/>
          <w:sz w:val="20.15999984741211"/>
          <w:szCs w:val="20.15999984741211"/>
        </w:rPr>
      </w:pPr>
      <w:r w:rsidDel="00000000" w:rsidR="00000000" w:rsidRPr="00000000">
        <w:rPr>
          <w:rFonts w:ascii="Calibri" w:cs="Calibri" w:eastAsia="Calibri" w:hAnsi="Calibri"/>
          <w:sz w:val="21.60000006357829"/>
          <w:szCs w:val="21.60000006357829"/>
          <w:vertAlign w:val="superscript"/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sz w:val="20.15999984741211"/>
          <w:szCs w:val="20.15999984741211"/>
          <w:rtl w:val="0"/>
        </w:rPr>
        <w:t xml:space="preserve">Se entiende por reflexión pedagógica la capacidad de explicar los logros y debilidades de la secuencia o  unidad didáctica, con justificaciones que posean una base conceptual y se centren en los aprendizajes  logrados de los y las estudiantes del establecimiento. Se entenderá que no hay reflexión cuando solo se  describen eventos sin evaluarlos. Es importante considerar que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.15999984741211"/>
          <w:szCs w:val="20.15999984741211"/>
          <w:rtl w:val="0"/>
        </w:rPr>
        <w:t xml:space="preserve">reflexión crítica </w:t>
      </w:r>
      <w:r w:rsidDel="00000000" w:rsidR="00000000" w:rsidRPr="00000000">
        <w:rPr>
          <w:rFonts w:ascii="Calibri" w:cs="Calibri" w:eastAsia="Calibri" w:hAnsi="Calibri"/>
          <w:sz w:val="20.15999984741211"/>
          <w:szCs w:val="20.15999984741211"/>
          <w:rtl w:val="0"/>
        </w:rPr>
        <w:t xml:space="preserve">ocurre cuando existe </w:t>
      </w:r>
    </w:p>
    <w:p w:rsidR="00000000" w:rsidDel="00000000" w:rsidP="00000000" w:rsidRDefault="00000000" w:rsidRPr="00000000" w14:paraId="0000004F">
      <w:pPr>
        <w:widowControl w:val="0"/>
        <w:spacing w:before="7.214202880859375" w:line="242.7597713470459" w:lineRule="auto"/>
        <w:ind w:left="988.0620574951172" w:right="634.7021484375" w:firstLine="6.451263427734375"/>
        <w:rPr>
          <w:rFonts w:ascii="Calibri" w:cs="Calibri" w:eastAsia="Calibri" w:hAnsi="Calibri"/>
          <w:sz w:val="20.15999984741211"/>
          <w:szCs w:val="20.15999984741211"/>
        </w:rPr>
      </w:pPr>
      <w:r w:rsidDel="00000000" w:rsidR="00000000" w:rsidRPr="00000000">
        <w:rPr>
          <w:rFonts w:ascii="Calibri" w:cs="Calibri" w:eastAsia="Calibri" w:hAnsi="Calibri"/>
          <w:sz w:val="20.15999984741211"/>
          <w:szCs w:val="20.15999984741211"/>
          <w:rtl w:val="0"/>
        </w:rPr>
        <w:t xml:space="preserve">un cambio de perspectiva acerca de un concepto clave o fenómeno, identificando los supuestos que  subyacen a las propias afirmaciones respecto de los aprendizajes profesionales adquiridos.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