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spacing w:before="480" w:lineRule="auto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Pauta de Instrucciones: Presentación Grupal 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jc w:val="both"/>
        <w:rPr>
          <w:b w:val="1"/>
          <w:sz w:val="22"/>
          <w:szCs w:val="22"/>
        </w:rPr>
      </w:pPr>
      <w:bookmarkStart w:colFirst="0" w:colLast="0" w:name="_s4web7r1imbl" w:id="0"/>
      <w:bookmarkEnd w:id="0"/>
      <w:r w:rsidDel="00000000" w:rsidR="00000000" w:rsidRPr="00000000">
        <w:rPr>
          <w:b w:val="1"/>
          <w:sz w:val="22"/>
          <w:szCs w:val="22"/>
          <w:rtl w:val="0"/>
        </w:rPr>
        <w:t xml:space="preserve">Objetivo de la actividad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El objetivo de esta presentación grupal es analizar una política educativa específica, comprendiendo sus fundamentos, su aplicación concreta y sus implicancias en el contexto chileno. Además, se espera fomentar la reflexión crítica a través de una pregunta orientadora.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jc w:val="both"/>
        <w:rPr>
          <w:b w:val="1"/>
          <w:sz w:val="22"/>
          <w:szCs w:val="22"/>
        </w:rPr>
      </w:pPr>
      <w:bookmarkStart w:colFirst="0" w:colLast="0" w:name="_ilix0yxjotd7" w:id="1"/>
      <w:bookmarkEnd w:id="1"/>
      <w:r w:rsidDel="00000000" w:rsidR="00000000" w:rsidRPr="00000000">
        <w:rPr>
          <w:b w:val="1"/>
          <w:sz w:val="22"/>
          <w:szCs w:val="22"/>
          <w:rtl w:val="0"/>
        </w:rPr>
        <w:t xml:space="preserve">Instrucciones Generales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 w:befor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Cada grupo estará conformado por 5 integrantes (sin excepciones). El grupo debe escoger una política del listado que se presentará a continuación. Cada política sólo puede ser escogida por un grupo.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La presentación debe durar entre 10 y 12 minutos. Se recomienda ensayar previamente para ajustarse al tiempo.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24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Pueden usar presentación en PowerPoint o Canva. Todo el grupo debe exponer al menos una parte.</w:t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jc w:val="both"/>
        <w:rPr>
          <w:b w:val="1"/>
          <w:sz w:val="22"/>
          <w:szCs w:val="22"/>
        </w:rPr>
      </w:pPr>
      <w:bookmarkStart w:colFirst="0" w:colLast="0" w:name="_hzh0wa7miq93" w:id="2"/>
      <w:bookmarkEnd w:id="2"/>
      <w:r w:rsidDel="00000000" w:rsidR="00000000" w:rsidRPr="00000000">
        <w:rPr>
          <w:b w:val="1"/>
          <w:sz w:val="22"/>
          <w:szCs w:val="22"/>
          <w:rtl w:val="0"/>
        </w:rPr>
        <w:t xml:space="preserve">Contenidos mínimos que deben abordar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Descripción general de la política seleccionada (1 o 2 diapositivas): ¿Qué es? ¿Cuándo y por qué surge? ¿Cuál es su objetivo principal? ¿Qué actores la impulsan o regulan?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Aplicación práctica (1 diapositiva): ¿Cómo se implementa en el sistema educativo o en la sociedad? ¿Qué instituciones participan en su ejecución? ¿A qué población o territorio se dirige principalmente?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Fortalezas y desafíos (1 diapositiva): ¿Qué aspectos positivos se reconocen en su implementación? ¿Qué críticas o dificultades se han identificado?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4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Pregunta para la reflexión grupal: Cada grupo debe formular una pregunta crítica que invite a la clase a reflexionar al finalizar su presentación. La pregunta debe estar vinculada al análisis presentado.</w:t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jc w:val="both"/>
        <w:rPr>
          <w:b w:val="1"/>
          <w:sz w:val="22"/>
          <w:szCs w:val="22"/>
        </w:rPr>
      </w:pPr>
      <w:bookmarkStart w:colFirst="0" w:colLast="0" w:name="_6bpb522yywj1" w:id="3"/>
      <w:bookmarkEnd w:id="3"/>
      <w:r w:rsidDel="00000000" w:rsidR="00000000" w:rsidRPr="00000000">
        <w:rPr>
          <w:b w:val="1"/>
          <w:sz w:val="22"/>
          <w:szCs w:val="22"/>
          <w:rtl w:val="0"/>
        </w:rPr>
        <w:t xml:space="preserve">Criterios de evaluación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40"/>
        <w:gridCol w:w="1455"/>
        <w:gridCol w:w="1455"/>
        <w:gridCol w:w="1455"/>
        <w:gridCol w:w="1395"/>
        <w:tblGridChange w:id="0">
          <w:tblGrid>
            <w:gridCol w:w="3240"/>
            <w:gridCol w:w="1455"/>
            <w:gridCol w:w="1455"/>
            <w:gridCol w:w="1455"/>
            <w:gridCol w:w="13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Criterio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 logrado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Medianamente logrado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Logrado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Puntaje obtenido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Claridad en la explicación: explican con fluidez y claridad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 pts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1-2 pts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3-5 pts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Profundidad del análisis: van más allá de los descriptivo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1-2 pts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3-6 pts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Uno de fuentes o ejemplos: incluyen datos o ejemplos concretos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1-2 pts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3-4 pts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Apoyo visual: aporta a la exposición sin sobrecargar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1-2 pts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3-4 pts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Pregunta de cierre: pertinente y bien formulada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1-2 pts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3-6 pts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____ / 20</w:t>
            </w:r>
          </w:p>
        </w:tc>
      </w:tr>
    </w:tbl>
    <w:p w:rsidR="00000000" w:rsidDel="00000000" w:rsidP="00000000" w:rsidRDefault="00000000" w:rsidRPr="00000000" w14:paraId="0000003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/>
      </w:pPr>
      <w:r w:rsidDel="00000000" w:rsidR="00000000" w:rsidRPr="00000000">
        <w:rPr>
          <w:rtl w:val="0"/>
        </w:rPr>
        <w:t xml:space="preserve">Listado de Políticas a Elegir:</w:t>
      </w:r>
    </w:p>
    <w:p w:rsidR="00000000" w:rsidDel="00000000" w:rsidP="00000000" w:rsidRDefault="00000000" w:rsidRPr="00000000" w14:paraId="00000034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90"/>
        <w:gridCol w:w="5100"/>
        <w:gridCol w:w="1710"/>
        <w:tblGridChange w:id="0">
          <w:tblGrid>
            <w:gridCol w:w="2190"/>
            <w:gridCol w:w="5100"/>
            <w:gridCol w:w="17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Política Educativa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Bibliografía de apoyo (no obligatoria)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Fecha de presentación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ind w:left="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ACTUALIZACIÓN POLÍTICA DE NIÑOS, NIÑAS Y ESTUDIANTES EXTRANJEROS: Garantía del derecho a educación de personas en situación de movilidad </w:t>
            </w:r>
            <w:hyperlink r:id="rId6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8"/>
                  <w:szCs w:val="18"/>
                  <w:u w:val="single"/>
                  <w:rtl w:val="0"/>
                </w:rPr>
                <w:t xml:space="preserve">https://www.mineduc.cl/wp-content/uploads/sites/19/2024/01/23.01.23-Documento-Política-Estudiantes-extranjeros-digital.pdf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ind w:left="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Stefoni, C; Rojas, MT; Riedemann, A; Stang, F (2020), Interculturalidad en contextos migratorios. Desafíos para pensar un sistema educativo inclusivo y justo, en Corvera, MT; Muñoz, G (editores), Horizontes y propuestas para transformar el sistema educativo chileno, Ediciones Biblioteca del Congreso Nacional, Santiago, 2020. pp.168-189. En formato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on line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y pdf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 de junio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ind w:left="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Política intercultural bilingüe </w:t>
            </w:r>
            <w:hyperlink r:id="rId7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18"/>
                  <w:szCs w:val="18"/>
                  <w:u w:val="single"/>
                  <w:rtl w:val="0"/>
                </w:rPr>
                <w:t xml:space="preserve">http://www.peib.cl/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ind w:left="0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Arias, K; Quintriqueo, S (2021) Tensiones epistemológicas en la implementación de la Educación Intercultural Bilingüe. Ensaio: aval. pol. públ. Educ., Rio de Janeiro, v.29, n.111, p. 503-524. </w:t>
            </w:r>
            <w:hyperlink r:id="rId8">
              <w:r w:rsidDel="00000000" w:rsidR="00000000" w:rsidRPr="00000000">
                <w:rPr>
                  <w:rFonts w:ascii="Calibri" w:cs="Calibri" w:eastAsia="Calibri" w:hAnsi="Calibri"/>
                  <w:sz w:val="18"/>
                  <w:szCs w:val="18"/>
                  <w:u w:val="single"/>
                  <w:rtl w:val="0"/>
                </w:rPr>
                <w:t xml:space="preserve">https://doi.org/10.1590/S0104-40362020002802249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</w:t>
            </w:r>
            <w:hyperlink r:id="rId9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18"/>
                  <w:szCs w:val="18"/>
                  <w:u w:val="single"/>
                  <w:rtl w:val="0"/>
                </w:rPr>
                <w:t xml:space="preserve">https://www.scielo.br/j/ensaio/a/sHyrKtVqzPcfR9C6wR5PrHs/?format=pdf&amp;lang=es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 de junio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40" w:lineRule="auto"/>
              <w:ind w:left="0" w:firstLine="0"/>
              <w:jc w:val="both"/>
              <w:rPr/>
            </w:pPr>
            <w:bookmarkStart w:colFirst="0" w:colLast="0" w:name="_gjdgxs" w:id="4"/>
            <w:bookmarkEnd w:id="4"/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Orientaciones para la inclusión de personas LESBIANAS, GAYS, BISEXUALES, TRANS E INTERSEX en el sistema educativo chileno.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ind w:left="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Rojas Fabris, M., Fernández, M., Astudillo, P., Stefoni, C., Salinas, P., &amp; Valdebenito, M., La inclusión de estudiantes LGTBI en las escuelas chilenas: entre invisibilización y reconocimiento social.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Pensamiento Educativo. Revista de Investigación Educacional Latinoamericana, 56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(1): 1-14. </w:t>
            </w:r>
            <w:hyperlink r:id="rId10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18"/>
                  <w:szCs w:val="18"/>
                  <w:u w:val="single"/>
                  <w:rtl w:val="0"/>
                </w:rPr>
                <w:t xml:space="preserve">http://pensamientoeducativo.uc.cl/index.php/pel/issue/view/57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 de junio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ind w:left="0" w:firstLine="0"/>
              <w:jc w:val="both"/>
              <w:rPr/>
            </w:pPr>
            <w:bookmarkStart w:colFirst="0" w:colLast="0" w:name="_30j0zll" w:id="5"/>
            <w:bookmarkEnd w:id="5"/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Ordenanza 0768-861 de la Superintendencia de Educación sobre derechos de niños y niñas trans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40" w:lineRule="auto"/>
              <w:ind w:left="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Rojas Fabris, M., Fernández, M., Astudillo, P., Stefoni, C., Salinas, P., &amp; Valdebenito, M., La inclusión de estudiantes LGTBI en las escuelas chilenas: entre invisibilización y reconocimiento social.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Pensamiento Educativo. Revista de Investigación Educacional Latinoamericana, 56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(1): 1-14. </w:t>
            </w:r>
            <w:hyperlink r:id="rId11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18"/>
                  <w:szCs w:val="18"/>
                  <w:u w:val="single"/>
                  <w:rtl w:val="0"/>
                </w:rPr>
                <w:t xml:space="preserve">http://pensamientoeducativo.uc.cl/index.php/pel/issue/view/57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 de junio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Por una educación con equidad de género  </w:t>
            </w:r>
            <w:hyperlink r:id="rId12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8"/>
                  <w:szCs w:val="18"/>
                  <w:u w:val="single"/>
                  <w:rtl w:val="0"/>
                </w:rPr>
                <w:t xml:space="preserve">https://bibliotecadigital.mineduc.cl/bitstream/handle/20.500.12365/14934/propuestas-genero.pdf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ind w:left="0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Vidal Velis, Francisco, Pérez Zamora, Isabel, Barrientos Delgado, Jaime, &amp; Gutiérrez Ortega, Geraldine. (2020). Educación en Tiempos del Género. Consideraciones en Torno a una Educación No Sexista y No Generista.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Revista latinoamericana de educación inclusiva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14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(2), 21-37. </w:t>
            </w:r>
            <w:hyperlink r:id="rId13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18"/>
                  <w:szCs w:val="18"/>
                  <w:u w:val="single"/>
                  <w:rtl w:val="0"/>
                </w:rPr>
                <w:t xml:space="preserve">https://dx.doi.org/10.4067/s0718-73782020000200021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13 de junio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40" w:lineRule="auto"/>
              <w:ind w:left="0" w:firstLine="0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Proyecto de ESI: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Establece bases generales para la educación afectiva y sexual de niños, niñas y adolescentes, en los establecimientos educacionales, y modifica normas legales que indica </w:t>
            </w:r>
            <w:hyperlink r:id="rId14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18"/>
                  <w:szCs w:val="18"/>
                  <w:u w:val="single"/>
                  <w:rtl w:val="0"/>
                </w:rPr>
                <w:t xml:space="preserve">12955-04.docx (live.com)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40" w:lineRule="auto"/>
              <w:ind w:left="0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Morgade, G. (2019). La educación sexual integral como proyecto de justicia social. Descentrada, 3 (1), e080. En Memoria Académica. Disponible en: </w:t>
            </w:r>
            <w:hyperlink r:id="rId15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18"/>
                  <w:szCs w:val="18"/>
                  <w:u w:val="single"/>
                  <w:rtl w:val="0"/>
                </w:rPr>
                <w:t xml:space="preserve">http://www.memoria.fahce.unlp.edu.ar/art_revistas/pr.9626/pr.9626.pdf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240" w:lineRule="auto"/>
              <w:ind w:left="0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Mella, E; Rebolledo, E (2020) Factores Que Influyen En La Implementación De Una Política Pública De Educación Sexual Integral: Casos Chile Y Costa Rica. Revista Chilena de Derecho y Ciencia Política, Vol. 11, N°1, 10-35, 2020.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13 de junio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76" w:lineRule="auto"/>
              <w:ind w:left="0" w:firstLine="0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Política nacional de convivencia escolar (2019) </w:t>
            </w:r>
            <w:hyperlink r:id="rId16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8"/>
                  <w:szCs w:val="18"/>
                  <w:u w:val="single"/>
                  <w:rtl w:val="0"/>
                </w:rPr>
                <w:t xml:space="preserve">https://convivenciaparaciudadania.mineduc.cl/wp-content/uploads/2019/04/Politica-Nacional-de-Convivencia-Escolar.pdf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240" w:lineRule="auto"/>
              <w:ind w:left="0" w:firstLine="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López, Verónica, Ramírez, Lorena, Valdés, René, Ascorra, Paula, &amp; Carrasco-Aguilar, Claudia. (2018). Tensiones y nudos críticos en la implementación de la(s) política(s) de convivencia escolar en Chile.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Calidad en la educación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, (48), 96-129. </w:t>
            </w:r>
            <w:hyperlink r:id="rId17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18"/>
                  <w:szCs w:val="18"/>
                  <w:u w:val="single"/>
                  <w:rtl w:val="0"/>
                </w:rPr>
                <w:t xml:space="preserve">https://dx.doi.org/10.31619/caledu.n48.480</w:t>
              </w:r>
            </w:hyperlink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hyperlink r:id="rId18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18"/>
                  <w:szCs w:val="18"/>
                  <w:u w:val="single"/>
                  <w:rtl w:val="0"/>
                </w:rPr>
                <w:t xml:space="preserve">Tensiones y nudos críticos en la implementación de la(s) política(s) de convivencia escolar en Chile (scielo.cl)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13 de junio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76" w:lineRule="auto"/>
              <w:ind w:left="0" w:firstLine="0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Plan de Formación Ciudadana. Ley 20.911 </w:t>
            </w:r>
            <w:hyperlink r:id="rId19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18"/>
                  <w:szCs w:val="18"/>
                  <w:u w:val="single"/>
                  <w:rtl w:val="0"/>
                </w:rPr>
                <w:t xml:space="preserve">https://convivenciaparaciudadania.mineduc.cl/wp-content/uploads/2023/04/Ley-20911_02-ABR-2016.pdf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Jara, Camila, Sánchez, Macarena, &amp; Cox, Cristián. (2019). Liderazgo educativo y formación ciudadana: visiones y prácticas de los actores.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Calidad en la educación</w:t>
            </w: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, (51), 350-381. </w:t>
            </w:r>
            <w:hyperlink r:id="rId20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18"/>
                  <w:szCs w:val="18"/>
                  <w:u w:val="single"/>
                  <w:rtl w:val="0"/>
                </w:rPr>
                <w:t xml:space="preserve">https://dx.doi.org/10.31619/caledu.n51.687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40" w:lineRule="auto"/>
              <w:ind w:left="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Disi, R., &amp; Mardones, R. (2021). Enseñando con actitud: ¿Cuán efectiva ha sido la formación ciudadana en Chile? Archivos Analíticos de Políticas Educativas, 29(15). https://doi.org/10.14507/epaa.29.4969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13 de junio</w:t>
            </w:r>
          </w:p>
        </w:tc>
      </w:tr>
    </w:tbl>
    <w:p w:rsidR="00000000" w:rsidDel="00000000" w:rsidP="00000000" w:rsidRDefault="00000000" w:rsidRPr="00000000" w14:paraId="0000005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/>
      </w:pPr>
      <w:r w:rsidDel="00000000" w:rsidR="00000000" w:rsidRPr="00000000">
        <w:rPr>
          <w:color w:val="ff0000"/>
          <w:rtl w:val="0"/>
        </w:rPr>
        <w:t xml:space="preserve">IMPORTANTE</w:t>
      </w:r>
      <w:r w:rsidDel="00000000" w:rsidR="00000000" w:rsidRPr="00000000">
        <w:rPr>
          <w:rtl w:val="0"/>
        </w:rPr>
        <w:t xml:space="preserve"> La asignación de los temas tendrá la siguiente fórmula:</w:t>
      </w:r>
    </w:p>
    <w:p w:rsidR="00000000" w:rsidDel="00000000" w:rsidP="00000000" w:rsidRDefault="00000000" w:rsidRPr="00000000" w14:paraId="0000005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El día viernes 30 de mayo a partir de las 13:00 hrs tendrán que enviar un e-mail (un representante por grupo) con la siguiente información:</w:t>
      </w:r>
    </w:p>
    <w:p w:rsidR="00000000" w:rsidDel="00000000" w:rsidP="00000000" w:rsidRDefault="00000000" w:rsidRPr="00000000" w14:paraId="00000057">
      <w:pPr>
        <w:numPr>
          <w:ilvl w:val="1"/>
          <w:numId w:val="1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Integrantes del grupo</w:t>
      </w:r>
    </w:p>
    <w:p w:rsidR="00000000" w:rsidDel="00000000" w:rsidP="00000000" w:rsidRDefault="00000000" w:rsidRPr="00000000" w14:paraId="00000058">
      <w:pPr>
        <w:numPr>
          <w:ilvl w:val="1"/>
          <w:numId w:val="1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3 opciones de temas (ordenados por preferencia)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Los temas serán asignados según el orden en que lleguen los e-mails y las preferencias que determinen.  De este modo, si un grupo nos informa que tomará el Plan de Formación Ciudadana (y por lo tanto, presentará el 13 de junio) y nadie más lo eligió, le será asignado y dejará de estar disponible para otro grupo. Ahora bien, si otro grupo envió su e-mail después del grupo anterior y también quiere esa política, se le asignará su segunda opción. </w:t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El listado oficial de temas y fechas asignadas se publicará durante el mismo día, para que tengan tiempo suficiente para prepararse.</w:t>
      </w:r>
      <w:r w:rsidDel="00000000" w:rsidR="00000000" w:rsidRPr="00000000">
        <w:rPr>
          <w:rtl w:val="0"/>
        </w:rPr>
      </w:r>
    </w:p>
    <w:sectPr>
      <w:headerReference r:id="rId21" w:type="default"/>
      <w:footerReference r:id="rId22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19051</wp:posOffset>
          </wp:positionH>
          <wp:positionV relativeFrom="paragraph">
            <wp:posOffset>19051</wp:posOffset>
          </wp:positionV>
          <wp:extent cx="2109788" cy="515181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9788" cy="515181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x.doi.org/10.31619/caledu.n51.687" TargetMode="External"/><Relationship Id="rId11" Type="http://schemas.openxmlformats.org/officeDocument/2006/relationships/hyperlink" Target="http://pensamientoeducativo.uc.cl/index.php/pel/issue/view/57" TargetMode="External"/><Relationship Id="rId22" Type="http://schemas.openxmlformats.org/officeDocument/2006/relationships/footer" Target="footer1.xml"/><Relationship Id="rId10" Type="http://schemas.openxmlformats.org/officeDocument/2006/relationships/hyperlink" Target="http://pensamientoeducativo.uc.cl/index.php/pel/issue/view/57" TargetMode="External"/><Relationship Id="rId21" Type="http://schemas.openxmlformats.org/officeDocument/2006/relationships/header" Target="header1.xml"/><Relationship Id="rId13" Type="http://schemas.openxmlformats.org/officeDocument/2006/relationships/hyperlink" Target="https://dx.doi.org/10.4067/s0718-73782020000200021" TargetMode="External"/><Relationship Id="rId12" Type="http://schemas.openxmlformats.org/officeDocument/2006/relationships/hyperlink" Target="https://bibliotecadigital.mineduc.cl/bitstream/handle/20.500.12365/14934/propuestas-genero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scielo.br/j/ensaio/a/sHyrKtVqzPcfR9C6wR5PrHs/?format=pdf&amp;lang=es" TargetMode="External"/><Relationship Id="rId15" Type="http://schemas.openxmlformats.org/officeDocument/2006/relationships/hyperlink" Target="http://www.memoria.fahce.unlp.edu.ar/art_revistas/pr.9626/pr.9626.pdf" TargetMode="External"/><Relationship Id="rId14" Type="http://schemas.openxmlformats.org/officeDocument/2006/relationships/hyperlink" Target="https://view.officeapps.live.com/op/view.aspx?src=https%3A%2F%2Fwww.camara.cl%2FverDoc.aspx%3FprmID%3D13284%26prmTIPO%3DINICIATIVA&amp;wdOrigin=BROWSELINK" TargetMode="External"/><Relationship Id="rId17" Type="http://schemas.openxmlformats.org/officeDocument/2006/relationships/hyperlink" Target="https://dx.doi.org/10.31619/caledu.n48.480" TargetMode="External"/><Relationship Id="rId16" Type="http://schemas.openxmlformats.org/officeDocument/2006/relationships/hyperlink" Target="https://convivenciaparaciudadania.mineduc.cl/wp-content/uploads/2019/04/Politica-Nacional-de-Convivencia-Escolar.pdf" TargetMode="External"/><Relationship Id="rId5" Type="http://schemas.openxmlformats.org/officeDocument/2006/relationships/styles" Target="styles.xml"/><Relationship Id="rId19" Type="http://schemas.openxmlformats.org/officeDocument/2006/relationships/hyperlink" Target="https://convivenciaparaciudadania.mineduc.cl/wp-content/uploads/2023/04/Ley-20911_02-ABR-2016.pdf" TargetMode="External"/><Relationship Id="rId6" Type="http://schemas.openxmlformats.org/officeDocument/2006/relationships/hyperlink" Target="https://www.mineduc.cl/wp-content/uploads/sites/19/2024/01/23.01.23-Documento-Poli%CC%81tica-Estudiantes-extranjeros-digital.pdf" TargetMode="External"/><Relationship Id="rId18" Type="http://schemas.openxmlformats.org/officeDocument/2006/relationships/hyperlink" Target="https://www.scielo.cl/scielo.php?pid=S0718-45652018000100096&amp;script=sci_arttext&amp;tlng=pt" TargetMode="External"/><Relationship Id="rId7" Type="http://schemas.openxmlformats.org/officeDocument/2006/relationships/hyperlink" Target="http://www.peib.cl/" TargetMode="External"/><Relationship Id="rId8" Type="http://schemas.openxmlformats.org/officeDocument/2006/relationships/hyperlink" Target="https://doi.org/10.1590/S0104-40362020002802249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